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6768"/>
        <w:gridCol w:w="3168"/>
      </w:tblGrid>
      <w:tr>
        <w:tc>
          <w:tcPr>
            <w:tcW w:type="dxa" w:w="5371"/>
            <w:tcMar>
              <w:top w:w="0" w:type="dxa"/>
              <w:start w:w="0" w:type="dxa"/>
              <w:bottom w:w="0" w:type="dxa"/>
              <w:end w:w="0" w:type="dxa"/>
            </w:tcMar>
            <w:vAlign w:val="top"/>
          </w:tcPr>
          <w:p>
            <w:pPr>
              <w:pStyle w:val="Title"/>
            </w:pPr>
            <w:r>
              <w:t>Tyler Wickett, P.Eng.</w:t>
            </w:r>
          </w:p>
          <w:p>
            <w:pPr>
              <w:pStyle w:val="Subtitle"/>
            </w:pPr>
            <w:r>
              <w:t>Robotics Systems Integration &amp; Validation Engineer</w:t>
            </w:r>
          </w:p>
          <w:p>
            <w:pPr>
              <w:spacing w:after="0"/>
            </w:pPr>
            <w:r>
              <w:rPr>
                <w:b/>
                <w:color w:val="5E6B75"/>
                <w:sz w:val="15"/>
              </w:rPr>
              <w:t>Autonomous Systems | Hardware-Software Integration | Sensors | Field Validation</w:t>
            </w:r>
          </w:p>
        </w:tc>
        <w:tc>
          <w:tcPr>
            <w:tcW w:type="dxa" w:w="5371"/>
            <w:tcMar>
              <w:top w:w="0" w:type="dxa"/>
              <w:start w:w="0" w:type="dxa"/>
              <w:bottom w:w="0" w:type="dxa"/>
              <w:end w:w="0" w:type="dxa"/>
            </w:tcMar>
            <w:vAlign w:val="top"/>
          </w:tcPr>
          <w:p>
            <w:pPr>
              <w:spacing w:after="20"/>
              <w:jc w:val="right"/>
            </w:pPr>
            <w:r>
              <w:rPr>
                <w:color w:val="5E6B75"/>
                <w:sz w:val="16"/>
              </w:rPr>
              <w:t>Port Coquitlam, BC</w:t>
            </w:r>
          </w:p>
          <w:p>
            <w:pPr>
              <w:spacing w:after="20"/>
              <w:jc w:val="right"/>
            </w:pPr>
            <w:r>
              <w:rPr>
                <w:color w:val="5E6B75"/>
                <w:sz w:val="16"/>
              </w:rPr>
              <w:t>(604) 704-4114</w:t>
            </w:r>
          </w:p>
          <w:p>
            <w:pPr>
              <w:spacing w:after="20"/>
              <w:jc w:val="right"/>
            </w:pPr>
            <w:hyperlink r:id="rId9">
              <w:r>
                <w:rPr>
                  <w:color w:val="2B6CA3"/>
                </w:rPr>
                <w:t>tylerwickett@gmail.com</w:t>
              </w:r>
            </w:hyperlink>
          </w:p>
          <w:p>
            <w:pPr>
              <w:spacing w:after="20"/>
              <w:jc w:val="right"/>
            </w:pPr>
            <w:hyperlink r:id="rId10">
              <w:r>
                <w:rPr>
                  <w:color w:val="2B6CA3"/>
                </w:rPr>
                <w:t>tyler.sowp.ca</w:t>
              </w:r>
            </w:hyperlink>
          </w:p>
          <w:p>
            <w:pPr>
              <w:spacing w:after="0"/>
              <w:jc w:val="right"/>
            </w:pPr>
            <w:hyperlink r:id="rId11">
              <w:r>
                <w:rPr>
                  <w:color w:val="2B6CA3"/>
                </w:rPr>
                <w:t>linkedin.com/in/tylerwickett</w:t>
              </w:r>
            </w:hyperlink>
          </w:p>
        </w:tc>
      </w:tr>
    </w:tbl>
    <w:p>
      <w:pPr>
        <w:spacing w:after="20"/>
        <w:pBdr>
          <w:bottom w:val="single" w:sz="10" w:space="1" w:color="2B6CA3"/>
        </w:pBdr>
      </w:pPr>
    </w:p>
    <w:p>
      <w:pPr>
        <w:pStyle w:val="Heading1"/>
        <w:pBdr>
          <w:bottom w:val="single" w:sz="4" w:space="3" w:color="D8E5EE"/>
        </w:pBdr>
      </w:pPr>
      <w:r>
        <w:t>PROFILE</w:t>
      </w: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10080"/>
      </w:tblGrid>
      <w:tr>
        <w:tc>
          <w:tcPr>
            <w:tcW w:type="dxa" w:w="10742"/>
            <w:shd w:fill="EEF4F8"/>
            <w:tcMar>
              <w:top w:w="60" w:type="dxa"/>
              <w:start w:w="95" w:type="dxa"/>
              <w:bottom w:w="60" w:type="dxa"/>
              <w:end w:w="95" w:type="dxa"/>
            </w:tcMar>
          </w:tcPr>
          <w:p>
            <w:pPr>
              <w:spacing w:after="0" w:line="250" w:lineRule="auto"/>
            </w:pPr>
            <w:r>
              <w:rPr>
                <w:sz w:val="16"/>
              </w:rPr>
              <w:t>P.Eng. with 10+ years of experience integrating, testing, and troubleshooting complex physical systems across autonomous underwater vehicles, ROVs, heavy-equipment machine control, structural sensing, and connected products. Supported a three-month AUV sea-trial program across two vehicle configurations and led machine-control support for 45 concurrent pieces of heavy equipment and up to 20 surveyors across approximately 200 km of pipeline construction. Combines mechanical design, sensors, propulsion, GNSS, controls, field validation, manufacturability, and AI-assisted software development.</w:t>
            </w:r>
          </w:p>
        </w:tc>
      </w:tr>
    </w:tbl>
    <w:p>
      <w:pPr>
        <w:pStyle w:val="Heading1"/>
        <w:pBdr>
          <w:bottom w:val="single" w:sz="4" w:space="3" w:color="D8E5EE"/>
        </w:pBdr>
      </w:pPr>
      <w:r>
        <w:t>TECHNICAL CAPABILITIES</w:t>
      </w:r>
    </w:p>
    <w:tbl>
      <w:tblPr>
        <w:tblW w:type="auto" w:w="0"/>
        <w:jc w:val="center"/>
        <w:tblLayout w:type="fixed"/>
        <w:tblLook w:firstColumn="1" w:firstRow="1" w:lastColumn="0" w:lastRow="0" w:noHBand="0" w:noVBand="1" w:val="04A0"/>
        <w:tblBorders>
          <w:top w:val="single" w:sz="4" w:color="D8E5EE"/>
          <w:left w:val="single" w:sz="4" w:color="D8E5EE"/>
          <w:bottom w:val="single" w:sz="4" w:color="D8E5EE"/>
          <w:right w:val="single" w:sz="4" w:color="D8E5EE"/>
          <w:insideH w:val="single" w:sz="4" w:color="D8E5EE"/>
          <w:insideV w:val="single" w:sz="4" w:color="D8E5EE"/>
        </w:tblBorders>
      </w:tblPr>
      <w:tblGrid>
        <w:gridCol w:w="5011"/>
        <w:gridCol w:w="5011"/>
      </w:tblGrid>
      <w:tr>
        <w:tc>
          <w:tcPr>
            <w:tcW w:type="dxa" w:w="5371"/>
            <w:tcMar>
              <w:top w:w="40" w:type="dxa"/>
              <w:start w:w="75" w:type="dxa"/>
              <w:bottom w:w="40" w:type="dxa"/>
              <w:end w:w="75" w:type="dxa"/>
            </w:tcMar>
            <w:shd w:fill="F8FAFC"/>
          </w:tcPr>
          <w:p>
            <w:pPr>
              <w:spacing w:after="20"/>
            </w:pPr>
            <w:r>
              <w:rPr>
                <w:b/>
                <w:color w:val="2B6CA3"/>
                <w:sz w:val="15"/>
              </w:rPr>
              <w:t>SYSTEMS INTEGRATION</w:t>
            </w:r>
          </w:p>
          <w:p>
            <w:pPr>
              <w:spacing w:after="0" w:line="240" w:lineRule="auto"/>
            </w:pPr>
            <w:r>
              <w:rPr>
                <w:color w:val="1F2933"/>
                <w:sz w:val="15"/>
              </w:rPr>
              <w:t>AUV/ROV systems, electromechanical integration, hardware-software interfaces, interface management, root-cause analysis</w:t>
            </w:r>
          </w:p>
        </w:tc>
        <w:tc>
          <w:tcPr>
            <w:tcW w:type="dxa" w:w="5371"/>
            <w:tcMar>
              <w:top w:w="40" w:type="dxa"/>
              <w:start w:w="75" w:type="dxa"/>
              <w:bottom w:w="40" w:type="dxa"/>
              <w:end w:w="75" w:type="dxa"/>
            </w:tcMar>
          </w:tcPr>
          <w:p>
            <w:pPr>
              <w:spacing w:after="20"/>
            </w:pPr>
            <w:r>
              <w:rPr>
                <w:b/>
                <w:color w:val="2B6CA3"/>
                <w:sz w:val="15"/>
              </w:rPr>
              <w:t>VERIFICATION &amp; VALIDATION</w:t>
            </w:r>
          </w:p>
          <w:p>
            <w:pPr>
              <w:spacing w:after="0" w:line="240" w:lineRule="auto"/>
            </w:pPr>
            <w:r>
              <w:rPr>
                <w:color w:val="1F2933"/>
                <w:sz w:val="15"/>
              </w:rPr>
              <w:t>Test planning, sea trials, field validation, acceptance testing, design verification, configuration changes, performance analysis</w:t>
            </w:r>
          </w:p>
        </w:tc>
      </w:tr>
      <w:tr>
        <w:tc>
          <w:tcPr>
            <w:tcW w:type="dxa" w:w="5371"/>
            <w:tcMar>
              <w:top w:w="40" w:type="dxa"/>
              <w:start w:w="75" w:type="dxa"/>
              <w:bottom w:w="40" w:type="dxa"/>
              <w:end w:w="75" w:type="dxa"/>
            </w:tcMar>
            <w:shd w:fill="F8FAFC"/>
          </w:tcPr>
          <w:p>
            <w:pPr>
              <w:spacing w:after="20"/>
            </w:pPr>
            <w:r>
              <w:rPr>
                <w:b/>
                <w:color w:val="2B6CA3"/>
                <w:sz w:val="15"/>
              </w:rPr>
              <w:t>MECHANICAL &amp; CONTROLS</w:t>
            </w:r>
          </w:p>
          <w:p>
            <w:pPr>
              <w:spacing w:after="0" w:line="240" w:lineRule="auto"/>
            </w:pPr>
            <w:r>
              <w:rPr>
                <w:color w:val="1F2933"/>
                <w:sz w:val="15"/>
              </w:rPr>
              <w:t>SolidWorks, FEA/CFD, structures, propulsion, motors, actuators, ballast, buoyancy, trim, control feedback</w:t>
            </w:r>
          </w:p>
        </w:tc>
        <w:tc>
          <w:tcPr>
            <w:tcW w:type="dxa" w:w="5371"/>
            <w:tcMar>
              <w:top w:w="40" w:type="dxa"/>
              <w:start w:w="75" w:type="dxa"/>
              <w:bottom w:w="40" w:type="dxa"/>
              <w:end w:w="75" w:type="dxa"/>
            </w:tcMar>
          </w:tcPr>
          <w:p>
            <w:pPr>
              <w:spacing w:after="20"/>
            </w:pPr>
            <w:r>
              <w:rPr>
                <w:b/>
                <w:color w:val="2B6CA3"/>
                <w:sz w:val="15"/>
              </w:rPr>
              <w:t>SENSORS &amp; COMMUNICATIONS</w:t>
            </w:r>
          </w:p>
          <w:p>
            <w:pPr>
              <w:spacing w:after="0" w:line="240" w:lineRule="auto"/>
            </w:pPr>
            <w:r>
              <w:rPr>
                <w:color w:val="1F2933"/>
                <w:sz w:val="15"/>
              </w:rPr>
              <w:t>GNSS, machine control, cameras, fibre-optic sensing, strain gauges, acoustic modems, RS-232/RS-485, LoRa, Wi-Fi, CAN fundamentals</w:t>
            </w:r>
          </w:p>
        </w:tc>
      </w:tr>
      <w:tr>
        <w:tc>
          <w:tcPr>
            <w:tcW w:type="dxa" w:w="5371"/>
            <w:tcMar>
              <w:top w:w="40" w:type="dxa"/>
              <w:start w:w="75" w:type="dxa"/>
              <w:bottom w:w="40" w:type="dxa"/>
              <w:end w:w="75" w:type="dxa"/>
            </w:tcMar>
            <w:shd w:fill="F8FAFC"/>
          </w:tcPr>
          <w:p>
            <w:pPr>
              <w:spacing w:after="20"/>
            </w:pPr>
            <w:r>
              <w:rPr>
                <w:b/>
                <w:color w:val="2B6CA3"/>
                <w:sz w:val="15"/>
              </w:rPr>
              <w:t>SOFTWARE &amp; EMBEDDED</w:t>
            </w:r>
          </w:p>
          <w:p>
            <w:pPr>
              <w:spacing w:after="0" w:line="240" w:lineRule="auto"/>
            </w:pPr>
            <w:r>
              <w:rPr>
                <w:color w:val="1F2933"/>
                <w:sz w:val="15"/>
              </w:rPr>
              <w:t>Python, TypeScript/JavaScript, React, Node/Express, SQL/PostgreSQL; C/C++, ESP32, Arduino, Raspberry Pi, Siemens PLC exposure</w:t>
            </w:r>
          </w:p>
        </w:tc>
        <w:tc>
          <w:tcPr>
            <w:tcW w:type="dxa" w:w="5371"/>
            <w:tcMar>
              <w:top w:w="40" w:type="dxa"/>
              <w:start w:w="75" w:type="dxa"/>
              <w:bottom w:w="40" w:type="dxa"/>
              <w:end w:w="75" w:type="dxa"/>
            </w:tcMar>
          </w:tcPr>
          <w:p>
            <w:pPr>
              <w:spacing w:after="20"/>
            </w:pPr>
            <w:r>
              <w:rPr>
                <w:b/>
                <w:color w:val="2B6CA3"/>
                <w:sz w:val="15"/>
              </w:rPr>
              <w:t>DEVELOPMENT TOOLS</w:t>
            </w:r>
          </w:p>
          <w:p>
            <w:pPr>
              <w:spacing w:after="0" w:line="240" w:lineRule="auto"/>
            </w:pPr>
            <w:r>
              <w:rPr>
                <w:color w:val="1F2933"/>
                <w:sz w:val="15"/>
              </w:rPr>
              <w:t>Linux, Git/GitHub, ROS fundamentals, AI/LLM-assisted coding, machine vision, test automation, output validation</w:t>
            </w:r>
          </w:p>
        </w:tc>
      </w:tr>
    </w:tbl>
    <w:p>
      <w:pPr>
        <w:pStyle w:val="Heading1"/>
        <w:pBdr>
          <w:bottom w:val="single" w:sz="4" w:space="3" w:color="D8E5EE"/>
        </w:pBdr>
      </w:pPr>
      <w:r>
        <w:t>PROFESSIONAL EXPERIENCE</w:t>
      </w: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8323"/>
        <w:gridCol w:w="1757"/>
      </w:tblGrid>
      <w:tr>
        <w:tc>
          <w:tcPr>
            <w:tcW w:type="dxa" w:w="5371"/>
            <w:tcMar>
              <w:top w:w="0" w:type="dxa"/>
              <w:start w:w="0" w:type="dxa"/>
              <w:bottom w:w="0" w:type="dxa"/>
              <w:end w:w="0" w:type="dxa"/>
            </w:tcMar>
          </w:tcPr>
          <w:p>
            <w:pPr>
              <w:keepNext/>
              <w:spacing w:after="0"/>
            </w:pPr>
            <w:r>
              <w:rPr>
                <w:b/>
                <w:color w:val="19324D"/>
                <w:sz w:val="17"/>
              </w:rPr>
              <w:t>Founder &amp; Product Developer (Part-Time / Project-Based)</w:t>
            </w:r>
            <w:r>
              <w:t xml:space="preserve">  |  </w:t>
            </w:r>
            <w:r>
              <w:rPr>
                <w:b/>
                <w:sz w:val="17"/>
              </w:rPr>
              <w:t>C3rta / Sowp Technologies</w:t>
            </w:r>
          </w:p>
          <w:p>
            <w:pPr>
              <w:keepNext/>
              <w:spacing w:after="20"/>
            </w:pPr>
            <w:r>
              <w:rPr>
                <w:color w:val="5E6B75"/>
                <w:sz w:val="15"/>
              </w:rPr>
              <w:t>Coquitlam, BC</w:t>
            </w:r>
          </w:p>
        </w:tc>
        <w:tc>
          <w:tcPr>
            <w:tcW w:type="dxa" w:w="5371"/>
            <w:tcMar>
              <w:top w:w="0" w:type="dxa"/>
              <w:start w:w="0" w:type="dxa"/>
              <w:bottom w:w="0" w:type="dxa"/>
              <w:end w:w="0" w:type="dxa"/>
            </w:tcMar>
          </w:tcPr>
          <w:p>
            <w:pPr>
              <w:keepNext/>
              <w:spacing w:after="0"/>
              <w:jc w:val="right"/>
            </w:pPr>
            <w:r>
              <w:rPr>
                <w:b/>
                <w:color w:val="19324D"/>
                <w:sz w:val="16"/>
              </w:rPr>
              <w:t>2024-Present</w:t>
            </w:r>
          </w:p>
        </w:tc>
      </w:tr>
    </w:tbl>
    <w:p>
      <w:pPr>
        <w:pStyle w:val="ListBullet"/>
        <w:keepLines/>
        <w:spacing w:after="7" w:line="240" w:lineRule="auto"/>
        <w:ind w:left="245" w:hanging="144" w:right="29"/>
      </w:pPr>
      <w:r>
        <w:rPr>
          <w:sz w:val="16"/>
        </w:rPr>
        <w:t>Built C3rta, a full-stack equipment inspection and maintenance platform using React, TypeScript, Node/Express, PostgreSQL/Supabase, OCR, QR verification, automated workflows, testing, and cloud deployment.</w:t>
      </w:r>
    </w:p>
    <w:p>
      <w:pPr>
        <w:pStyle w:val="ListBullet"/>
        <w:keepLines/>
        <w:spacing w:after="7" w:line="240" w:lineRule="auto"/>
        <w:ind w:left="245" w:hanging="144" w:right="29"/>
      </w:pPr>
      <w:r>
        <w:rPr>
          <w:sz w:val="16"/>
        </w:rPr>
        <w:t>Use AI-assisted development and connected-device concepts involving machine vision, embedded controllers, LoRa, sensors, and operational data capture.</w:t>
      </w:r>
    </w:p>
    <w:p>
      <w:pPr>
        <w:spacing w:before="12" w:after="6"/>
        <w:pBdr>
          <w:bottom w:val="single" w:sz="3" w:space="1" w:color="E6EBEF"/>
        </w:pBdr>
      </w:pP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8323"/>
        <w:gridCol w:w="1757"/>
      </w:tblGrid>
      <w:tr>
        <w:tc>
          <w:tcPr>
            <w:tcW w:type="dxa" w:w="5371"/>
            <w:tcMar>
              <w:top w:w="0" w:type="dxa"/>
              <w:start w:w="0" w:type="dxa"/>
              <w:bottom w:w="0" w:type="dxa"/>
              <w:end w:w="0" w:type="dxa"/>
            </w:tcMar>
          </w:tcPr>
          <w:p>
            <w:pPr>
              <w:keepNext/>
              <w:spacing w:after="0"/>
            </w:pPr>
            <w:r>
              <w:rPr>
                <w:b/>
                <w:color w:val="19324D"/>
                <w:sz w:val="17"/>
              </w:rPr>
              <w:t>Owner &amp; Principal Engineer (Part-Time / Project-Based)</w:t>
            </w:r>
            <w:r>
              <w:t xml:space="preserve">  |  </w:t>
            </w:r>
            <w:r>
              <w:rPr>
                <w:b/>
                <w:sz w:val="17"/>
              </w:rPr>
              <w:t>Reliant Engineering Services</w:t>
            </w:r>
          </w:p>
          <w:p>
            <w:pPr>
              <w:keepNext/>
              <w:spacing w:after="20"/>
            </w:pPr>
            <w:r>
              <w:rPr>
                <w:color w:val="5E6B75"/>
                <w:sz w:val="15"/>
              </w:rPr>
              <w:t>Coquitlam, BC</w:t>
            </w:r>
          </w:p>
        </w:tc>
        <w:tc>
          <w:tcPr>
            <w:tcW w:type="dxa" w:w="5371"/>
            <w:tcMar>
              <w:top w:w="0" w:type="dxa"/>
              <w:start w:w="0" w:type="dxa"/>
              <w:bottom w:w="0" w:type="dxa"/>
              <w:end w:w="0" w:type="dxa"/>
            </w:tcMar>
          </w:tcPr>
          <w:p>
            <w:pPr>
              <w:keepNext/>
              <w:spacing w:after="0"/>
              <w:jc w:val="right"/>
            </w:pPr>
            <w:r>
              <w:rPr>
                <w:b/>
                <w:color w:val="19324D"/>
                <w:sz w:val="16"/>
              </w:rPr>
              <w:t>2019-Present</w:t>
            </w:r>
          </w:p>
        </w:tc>
      </w:tr>
    </w:tbl>
    <w:p>
      <w:pPr>
        <w:pStyle w:val="ListBullet"/>
        <w:keepLines/>
        <w:spacing w:after="7" w:line="240" w:lineRule="auto"/>
        <w:ind w:left="245" w:hanging="144" w:right="29"/>
      </w:pPr>
      <w:r>
        <w:rPr>
          <w:sz w:val="16"/>
        </w:rPr>
        <w:t>Lead project scoping, technical delivery, field problem solving, and client coordination across mechanical, structural, lifting, inspection, and product-development assignments.</w:t>
      </w:r>
    </w:p>
    <w:p>
      <w:pPr>
        <w:pStyle w:val="ListBullet"/>
        <w:keepLines/>
        <w:spacing w:after="7" w:line="240" w:lineRule="auto"/>
        <w:ind w:left="245" w:hanging="144" w:right="29"/>
      </w:pPr>
      <w:r>
        <w:rPr>
          <w:sz w:val="16"/>
        </w:rPr>
        <w:t>Translate ambiguous field problems into practical designs, test approaches, fabricated solutions, and implementation plans.</w:t>
      </w:r>
    </w:p>
    <w:p>
      <w:pPr>
        <w:spacing w:before="12" w:after="6"/>
        <w:pBdr>
          <w:bottom w:val="single" w:sz="3" w:space="1" w:color="E6EBEF"/>
        </w:pBdr>
      </w:pP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8323"/>
        <w:gridCol w:w="1757"/>
      </w:tblGrid>
      <w:tr>
        <w:tc>
          <w:tcPr>
            <w:tcW w:type="dxa" w:w="5371"/>
            <w:tcMar>
              <w:top w:w="0" w:type="dxa"/>
              <w:start w:w="0" w:type="dxa"/>
              <w:bottom w:w="0" w:type="dxa"/>
              <w:end w:w="0" w:type="dxa"/>
            </w:tcMar>
          </w:tcPr>
          <w:p>
            <w:pPr>
              <w:keepNext/>
              <w:spacing w:after="0"/>
            </w:pPr>
            <w:r>
              <w:rPr>
                <w:b/>
                <w:color w:val="19324D"/>
                <w:sz w:val="17"/>
              </w:rPr>
              <w:t>Field &amp; Design Engineer</w:t>
            </w:r>
            <w:r>
              <w:t xml:space="preserve">  |  </w:t>
            </w:r>
            <w:r>
              <w:rPr>
                <w:b/>
                <w:sz w:val="17"/>
              </w:rPr>
              <w:t>Cellula Robotics</w:t>
            </w:r>
          </w:p>
          <w:p>
            <w:pPr>
              <w:keepNext/>
              <w:spacing w:after="20"/>
            </w:pPr>
            <w:r>
              <w:rPr>
                <w:color w:val="5E6B75"/>
                <w:sz w:val="15"/>
              </w:rPr>
              <w:t>Burnaby, BC</w:t>
            </w:r>
          </w:p>
        </w:tc>
        <w:tc>
          <w:tcPr>
            <w:tcW w:type="dxa" w:w="5371"/>
            <w:tcMar>
              <w:top w:w="0" w:type="dxa"/>
              <w:start w:w="0" w:type="dxa"/>
              <w:bottom w:w="0" w:type="dxa"/>
              <w:end w:w="0" w:type="dxa"/>
            </w:tcMar>
          </w:tcPr>
          <w:p>
            <w:pPr>
              <w:keepNext/>
              <w:spacing w:after="0"/>
              <w:jc w:val="right"/>
            </w:pPr>
            <w:r>
              <w:rPr>
                <w:b/>
                <w:color w:val="19324D"/>
                <w:sz w:val="16"/>
              </w:rPr>
              <w:t>2019-2020</w:t>
            </w:r>
          </w:p>
        </w:tc>
      </w:tr>
    </w:tbl>
    <w:p>
      <w:pPr>
        <w:pStyle w:val="ListBullet"/>
        <w:keepLines/>
        <w:spacing w:after="7" w:line="240" w:lineRule="auto"/>
        <w:ind w:left="245" w:hanging="144" w:right="29"/>
      </w:pPr>
      <w:r>
        <w:rPr>
          <w:sz w:val="16"/>
        </w:rPr>
        <w:t>Supported three successful field operations involving small ROVs, approximately five-metre AUVs, and a semi-autonomous underwater drilling system.</w:t>
      </w:r>
    </w:p>
    <w:p>
      <w:pPr>
        <w:pStyle w:val="ListBullet"/>
        <w:keepLines/>
        <w:spacing w:after="7" w:line="240" w:lineRule="auto"/>
        <w:ind w:left="245" w:hanging="144" w:right="29"/>
      </w:pPr>
      <w:r>
        <w:rPr>
          <w:sz w:val="16"/>
        </w:rPr>
        <w:t>Acted as primary field technical authority for vehicle readiness and operations, directing system-level decisions ashore and coordinating with the vessel captain during water operations.</w:t>
      </w:r>
    </w:p>
    <w:p>
      <w:pPr>
        <w:pStyle w:val="ListBullet"/>
        <w:keepLines/>
        <w:spacing w:after="7" w:line="240" w:lineRule="auto"/>
        <w:ind w:left="245" w:hanging="144" w:right="29"/>
      </w:pPr>
      <w:r>
        <w:rPr>
          <w:sz w:val="16"/>
        </w:rPr>
        <w:t>Supported a three-month sea-trial program across two AUV configurations, including an extended vehicle with a three-metre fuel-cell section.</w:t>
      </w:r>
    </w:p>
    <w:p>
      <w:pPr>
        <w:pStyle w:val="ListBullet"/>
        <w:keepLines/>
        <w:spacing w:after="7" w:line="240" w:lineRule="auto"/>
        <w:ind w:left="245" w:hanging="144" w:right="29"/>
      </w:pPr>
      <w:r>
        <w:rPr>
          <w:sz w:val="16"/>
        </w:rPr>
        <w:t>Converted trial evidence into larger control planes, revised controllers, and new propeller configurations; validated mission planning, onboard equipment, propulsion, recovery, and vehicle behaviour.</w:t>
      </w:r>
    </w:p>
    <w:p>
      <w:pPr>
        <w:pStyle w:val="ListBullet"/>
        <w:keepLines/>
        <w:spacing w:after="7" w:line="240" w:lineRule="auto"/>
        <w:ind w:left="245" w:hanging="144" w:right="29"/>
      </w:pPr>
      <w:r>
        <w:rPr>
          <w:sz w:val="16"/>
        </w:rPr>
        <w:t>Resolved ground loops, accelerated corrosion, motor sizing, propulsion, packaging, assembly access, manufacturability, and electrical-mechanical interface failures.</w:t>
      </w:r>
    </w:p>
    <w:p>
      <w:pPr>
        <w:pStyle w:val="ListBullet"/>
        <w:keepLines/>
        <w:spacing w:after="7" w:line="240" w:lineRule="auto"/>
        <w:ind w:left="245" w:hanging="144" w:right="29"/>
      </w:pPr>
      <w:r>
        <w:rPr>
          <w:sz w:val="16"/>
        </w:rPr>
        <w:t>Designed thruster, propeller, and battery off-gassing tests and improved fuel-cell workflow and packaging for pressure housings intended for approximately three-kilometre depth.</w:t>
      </w:r>
    </w:p>
    <w:p>
      <w:r>
        <w:br w:type="page"/>
      </w: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8323"/>
        <w:gridCol w:w="1757"/>
      </w:tblGrid>
      <w:tr>
        <w:tc>
          <w:tcPr>
            <w:tcW w:type="dxa" w:w="5371"/>
            <w:tcMar>
              <w:top w:w="0" w:type="dxa"/>
              <w:start w:w="0" w:type="dxa"/>
              <w:bottom w:w="0" w:type="dxa"/>
              <w:end w:w="0" w:type="dxa"/>
            </w:tcMar>
          </w:tcPr>
          <w:p>
            <w:pPr>
              <w:keepNext/>
              <w:spacing w:after="0"/>
            </w:pPr>
            <w:r>
              <w:rPr>
                <w:b/>
                <w:color w:val="19324D"/>
                <w:sz w:val="17"/>
              </w:rPr>
              <w:t>Grade Control &amp; Engineering Lead</w:t>
            </w:r>
            <w:r>
              <w:t xml:space="preserve">  |  </w:t>
            </w:r>
            <w:r>
              <w:rPr>
                <w:b/>
                <w:sz w:val="17"/>
              </w:rPr>
              <w:t>LSLP (Ledcor &amp; Sicim Partnership)</w:t>
            </w:r>
          </w:p>
          <w:p>
            <w:pPr>
              <w:keepNext/>
              <w:spacing w:after="20"/>
            </w:pPr>
            <w:r>
              <w:rPr>
                <w:color w:val="5E6B75"/>
                <w:sz w:val="15"/>
              </w:rPr>
              <w:t>Valemount, BC</w:t>
            </w:r>
          </w:p>
        </w:tc>
        <w:tc>
          <w:tcPr>
            <w:tcW w:type="dxa" w:w="5371"/>
            <w:tcMar>
              <w:top w:w="0" w:type="dxa"/>
              <w:start w:w="0" w:type="dxa"/>
              <w:bottom w:w="0" w:type="dxa"/>
              <w:end w:w="0" w:type="dxa"/>
            </w:tcMar>
          </w:tcPr>
          <w:p>
            <w:pPr>
              <w:keepNext/>
              <w:spacing w:after="0"/>
              <w:jc w:val="right"/>
            </w:pPr>
            <w:r>
              <w:rPr>
                <w:b/>
                <w:color w:val="19324D"/>
                <w:sz w:val="16"/>
              </w:rPr>
              <w:t>2020-2022</w:t>
            </w:r>
          </w:p>
        </w:tc>
      </w:tr>
    </w:tbl>
    <w:p>
      <w:pPr>
        <w:pStyle w:val="ListBullet"/>
        <w:keepLines/>
        <w:spacing w:after="7" w:line="240" w:lineRule="auto"/>
        <w:ind w:left="245" w:hanging="144" w:right="29"/>
      </w:pPr>
      <w:r>
        <w:rPr>
          <w:sz w:val="16"/>
        </w:rPr>
        <w:t>Led up to 20 surveyors and machine-control support for 30 excavators and 15 dozers operating concurrently on the Trans Mountain pipeline project.</w:t>
      </w:r>
    </w:p>
    <w:p>
      <w:pPr>
        <w:pStyle w:val="ListBullet"/>
        <w:keepLines/>
        <w:spacing w:after="7" w:line="240" w:lineRule="auto"/>
        <w:ind w:left="245" w:hanging="144" w:right="29"/>
      </w:pPr>
      <w:r>
        <w:rPr>
          <w:sz w:val="16"/>
        </w:rPr>
        <w:t>Integrated GNSS, machine automation, cameras, field sensors, survey data, and digital terrain models into complete equipment-control systems.</w:t>
      </w:r>
    </w:p>
    <w:p>
      <w:pPr>
        <w:pStyle w:val="ListBullet"/>
        <w:keepLines/>
        <w:spacing w:after="7" w:line="240" w:lineRule="auto"/>
        <w:ind w:left="245" w:hanging="144" w:right="29"/>
      </w:pPr>
      <w:r>
        <w:rPr>
          <w:sz w:val="16"/>
        </w:rPr>
        <w:t>Worked with Komatsu, Topcon, Trimble, and dealer engineers to create custom machine-control configurations for excavators and non-standard attachments.</w:t>
      </w:r>
    </w:p>
    <w:p>
      <w:pPr>
        <w:pStyle w:val="ListBullet"/>
        <w:keepLines/>
        <w:spacing w:after="7" w:line="240" w:lineRule="auto"/>
        <w:ind w:left="245" w:hanging="144" w:right="29"/>
      </w:pPr>
      <w:r>
        <w:rPr>
          <w:sz w:val="16"/>
        </w:rPr>
        <w:t>Captured approximately five kilometres of right-of-way per day by Wingtra drone and maintained information flow supporting a 3D model across roughly 200 kilometres.</w:t>
      </w:r>
    </w:p>
    <w:p>
      <w:pPr>
        <w:spacing w:before="12" w:after="6"/>
        <w:pBdr>
          <w:bottom w:val="single" w:sz="3" w:space="1" w:color="E6EBEF"/>
        </w:pBdr>
      </w:pP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8323"/>
        <w:gridCol w:w="1757"/>
      </w:tblGrid>
      <w:tr>
        <w:tc>
          <w:tcPr>
            <w:tcW w:type="dxa" w:w="5371"/>
            <w:tcMar>
              <w:top w:w="0" w:type="dxa"/>
              <w:start w:w="0" w:type="dxa"/>
              <w:bottom w:w="0" w:type="dxa"/>
              <w:end w:w="0" w:type="dxa"/>
            </w:tcMar>
          </w:tcPr>
          <w:p>
            <w:pPr>
              <w:keepNext/>
              <w:spacing w:after="0"/>
            </w:pPr>
            <w:r>
              <w:rPr>
                <w:b/>
                <w:color w:val="19324D"/>
                <w:sz w:val="17"/>
              </w:rPr>
              <w:t>Field &amp; Design Engineer</w:t>
            </w:r>
            <w:r>
              <w:t xml:space="preserve">  |  </w:t>
            </w:r>
            <w:r>
              <w:rPr>
                <w:b/>
                <w:sz w:val="17"/>
              </w:rPr>
              <w:t>Weir-Jones Engineering Consultants</w:t>
            </w:r>
          </w:p>
          <w:p>
            <w:pPr>
              <w:keepNext/>
              <w:spacing w:after="20"/>
            </w:pPr>
            <w:r>
              <w:rPr>
                <w:color w:val="5E6B75"/>
                <w:sz w:val="15"/>
              </w:rPr>
              <w:t>Vancouver, BC</w:t>
            </w:r>
          </w:p>
        </w:tc>
        <w:tc>
          <w:tcPr>
            <w:tcW w:type="dxa" w:w="5371"/>
            <w:tcMar>
              <w:top w:w="0" w:type="dxa"/>
              <w:start w:w="0" w:type="dxa"/>
              <w:bottom w:w="0" w:type="dxa"/>
              <w:end w:w="0" w:type="dxa"/>
            </w:tcMar>
          </w:tcPr>
          <w:p>
            <w:pPr>
              <w:keepNext/>
              <w:spacing w:after="0"/>
              <w:jc w:val="right"/>
            </w:pPr>
            <w:r>
              <w:rPr>
                <w:b/>
                <w:color w:val="19324D"/>
                <w:sz w:val="16"/>
              </w:rPr>
              <w:t>2017-2018</w:t>
            </w:r>
          </w:p>
        </w:tc>
      </w:tr>
    </w:tbl>
    <w:p>
      <w:pPr>
        <w:pStyle w:val="ListBullet"/>
        <w:keepLines/>
        <w:spacing w:after="7" w:line="240" w:lineRule="auto"/>
        <w:ind w:left="245" w:hanging="144" w:right="29"/>
      </w:pPr>
      <w:r>
        <w:rPr>
          <w:sz w:val="16"/>
        </w:rPr>
        <w:t>Independently or in two-person teams designed, built, tested, installed, and commissioned custom sensing systems from prototype through field deployment, often in remote locations.</w:t>
      </w:r>
    </w:p>
    <w:p>
      <w:pPr>
        <w:pStyle w:val="ListBullet"/>
        <w:keepLines/>
        <w:spacing w:after="7" w:line="240" w:lineRule="auto"/>
        <w:ind w:left="245" w:hanging="144" w:right="29"/>
      </w:pPr>
      <w:r>
        <w:rPr>
          <w:sz w:val="16"/>
        </w:rPr>
        <w:t>Instrumented buried pipelines for strain, vibration, soil movement, and dynamic pressure; fibre-optic systems detected pump-pressure surges through pipe sections.</w:t>
      </w:r>
    </w:p>
    <w:p>
      <w:pPr>
        <w:pStyle w:val="ListBullet"/>
        <w:keepLines/>
        <w:spacing w:after="7" w:line="240" w:lineRule="auto"/>
        <w:ind w:left="245" w:hanging="144" w:right="29"/>
      </w:pPr>
      <w:r>
        <w:rPr>
          <w:sz w:val="16"/>
        </w:rPr>
        <w:t>Deployed systems for corrosive sulfur-loading equipment, earthquake response, railway rockfall hazards, BC Ferries, and Seattle-area ferry vessels, owning calibration, troubleshooting, and field acceptance.</w:t>
      </w:r>
    </w:p>
    <w:p>
      <w:pPr>
        <w:spacing w:before="12" w:after="6"/>
        <w:pBdr>
          <w:bottom w:val="single" w:sz="3" w:space="1" w:color="E6EBEF"/>
        </w:pBdr>
      </w:pP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8323"/>
        <w:gridCol w:w="1757"/>
      </w:tblGrid>
      <w:tr>
        <w:tc>
          <w:tcPr>
            <w:tcW w:type="dxa" w:w="5371"/>
            <w:tcMar>
              <w:top w:w="0" w:type="dxa"/>
              <w:start w:w="0" w:type="dxa"/>
              <w:bottom w:w="0" w:type="dxa"/>
              <w:end w:w="0" w:type="dxa"/>
            </w:tcMar>
          </w:tcPr>
          <w:p>
            <w:pPr>
              <w:keepNext/>
              <w:spacing w:after="0"/>
            </w:pPr>
            <w:r>
              <w:rPr>
                <w:b/>
                <w:color w:val="19324D"/>
                <w:sz w:val="17"/>
              </w:rPr>
              <w:t>GPS / Engineering Coordinator</w:t>
            </w:r>
            <w:r>
              <w:t xml:space="preserve">  |  </w:t>
            </w:r>
            <w:r>
              <w:rPr>
                <w:b/>
                <w:sz w:val="17"/>
              </w:rPr>
              <w:t>Midwest Pipelines Inc.</w:t>
            </w:r>
          </w:p>
          <w:p>
            <w:pPr>
              <w:keepNext/>
              <w:spacing w:after="20"/>
            </w:pPr>
            <w:r>
              <w:rPr>
                <w:color w:val="5E6B75"/>
                <w:sz w:val="15"/>
              </w:rPr>
              <w:t>Edmonton, AB</w:t>
            </w:r>
          </w:p>
        </w:tc>
        <w:tc>
          <w:tcPr>
            <w:tcW w:type="dxa" w:w="5371"/>
            <w:tcMar>
              <w:top w:w="0" w:type="dxa"/>
              <w:start w:w="0" w:type="dxa"/>
              <w:bottom w:w="0" w:type="dxa"/>
              <w:end w:w="0" w:type="dxa"/>
            </w:tcMar>
          </w:tcPr>
          <w:p>
            <w:pPr>
              <w:keepNext/>
              <w:spacing w:after="0"/>
              <w:jc w:val="right"/>
            </w:pPr>
            <w:r>
              <w:rPr>
                <w:b/>
                <w:color w:val="19324D"/>
                <w:sz w:val="16"/>
              </w:rPr>
              <w:t>2013-2017</w:t>
            </w:r>
          </w:p>
        </w:tc>
      </w:tr>
    </w:tbl>
    <w:p>
      <w:pPr>
        <w:pStyle w:val="ListBullet"/>
        <w:keepLines/>
        <w:spacing w:after="7" w:line="240" w:lineRule="auto"/>
        <w:ind w:left="245" w:hanging="144" w:right="29"/>
      </w:pPr>
      <w:r>
        <w:rPr>
          <w:sz w:val="16"/>
        </w:rPr>
        <w:t>Implemented machine-control systems across excavator fleets and developed survey and construction models for pipeline operations.</w:t>
      </w:r>
    </w:p>
    <w:p>
      <w:pPr>
        <w:pStyle w:val="ListBullet"/>
        <w:keepLines/>
        <w:spacing w:after="7" w:line="240" w:lineRule="auto"/>
        <w:ind w:left="245" w:hanging="144" w:right="29"/>
      </w:pPr>
      <w:r>
        <w:rPr>
          <w:sz w:val="16"/>
        </w:rPr>
        <w:t>Coordinated GNSS, equipment, survey, and engineering workflows and analyzed construction data for anomalies.</w:t>
      </w:r>
    </w:p>
    <w:p>
      <w:pPr>
        <w:spacing w:before="12" w:after="6"/>
        <w:pBdr>
          <w:bottom w:val="single" w:sz="3" w:space="1" w:color="E6EBEF"/>
        </w:pBdr>
      </w:pP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8323"/>
        <w:gridCol w:w="1757"/>
      </w:tblGrid>
      <w:tr>
        <w:tc>
          <w:tcPr>
            <w:tcW w:type="dxa" w:w="5371"/>
            <w:tcMar>
              <w:top w:w="0" w:type="dxa"/>
              <w:start w:w="0" w:type="dxa"/>
              <w:bottom w:w="0" w:type="dxa"/>
              <w:end w:w="0" w:type="dxa"/>
            </w:tcMar>
          </w:tcPr>
          <w:p>
            <w:pPr>
              <w:keepNext/>
              <w:spacing w:after="0"/>
            </w:pPr>
            <w:r>
              <w:rPr>
                <w:b/>
                <w:color w:val="19324D"/>
                <w:sz w:val="17"/>
              </w:rPr>
              <w:t>Field Engineering Support</w:t>
            </w:r>
            <w:r>
              <w:t xml:space="preserve">  |  </w:t>
            </w:r>
            <w:r>
              <w:rPr>
                <w:b/>
                <w:sz w:val="17"/>
              </w:rPr>
              <w:t>Michels Canada</w:t>
            </w:r>
          </w:p>
          <w:p>
            <w:pPr>
              <w:keepNext/>
              <w:spacing w:after="20"/>
            </w:pPr>
            <w:r>
              <w:rPr>
                <w:color w:val="5E6B75"/>
                <w:sz w:val="15"/>
              </w:rPr>
              <w:t>Chilliwack, BC</w:t>
            </w:r>
          </w:p>
        </w:tc>
        <w:tc>
          <w:tcPr>
            <w:tcW w:type="dxa" w:w="5371"/>
            <w:tcMar>
              <w:top w:w="0" w:type="dxa"/>
              <w:start w:w="0" w:type="dxa"/>
              <w:bottom w:w="0" w:type="dxa"/>
              <w:end w:w="0" w:type="dxa"/>
            </w:tcMar>
          </w:tcPr>
          <w:p>
            <w:pPr>
              <w:keepNext/>
              <w:spacing w:after="0"/>
              <w:jc w:val="right"/>
            </w:pPr>
            <w:r>
              <w:rPr>
                <w:b/>
                <w:color w:val="19324D"/>
                <w:sz w:val="16"/>
              </w:rPr>
              <w:t>2023</w:t>
            </w:r>
          </w:p>
        </w:tc>
      </w:tr>
    </w:tbl>
    <w:p>
      <w:pPr>
        <w:pStyle w:val="ListBullet"/>
        <w:keepLines/>
        <w:spacing w:after="7" w:line="240" w:lineRule="auto"/>
        <w:ind w:left="245" w:hanging="144" w:right="29"/>
      </w:pPr>
      <w:r>
        <w:rPr>
          <w:sz w:val="16"/>
        </w:rPr>
        <w:t>Reviewed designs, removed workflow inefficiencies, developed constructible field solutions, and helped engineering teams navigate project controls and bureaucracy more effectively.</w:t>
      </w:r>
    </w:p>
    <w:p>
      <w:pPr>
        <w:pStyle w:val="Heading1"/>
        <w:pBdr>
          <w:bottom w:val="single" w:sz="4" w:space="3" w:color="D8E5EE"/>
        </w:pBdr>
      </w:pPr>
      <w:r>
        <w:t>EDUCATION &amp; CREDENTIALS</w:t>
      </w:r>
    </w:p>
    <w:tbl>
      <w:tblPr>
        <w:tblW w:type="auto" w:w="0"/>
        <w:jc w:val="center"/>
        <w:tblLayout w:type="fixed"/>
        <w:tblLook w:firstColumn="1" w:firstRow="1" w:lastColumn="0" w:lastRow="0" w:noHBand="0" w:noVBand="1" w:val="04A0"/>
        <w:tblBorders>
          <w:top w:val="nil" w:sz="0" w:color="FFFFFF"/>
          <w:left w:val="nil" w:sz="0" w:color="FFFFFF"/>
          <w:bottom w:val="nil" w:sz="0" w:color="FFFFFF"/>
          <w:right w:val="nil" w:sz="0" w:color="FFFFFF"/>
          <w:insideH w:val="nil" w:sz="0" w:color="FFFFFF"/>
          <w:insideV w:val="nil" w:sz="0" w:color="FFFFFF"/>
        </w:tblBorders>
      </w:tblPr>
      <w:tblGrid>
        <w:gridCol w:w="2376"/>
        <w:gridCol w:w="7704"/>
      </w:tblGrid>
      <w:tr>
        <w:tc>
          <w:tcPr>
            <w:tcW w:type="dxa" w:w="5371"/>
            <w:tcMar>
              <w:top w:w="20" w:type="dxa"/>
              <w:start w:w="0" w:type="dxa"/>
              <w:bottom w:w="20" w:type="dxa"/>
              <w:end w:w="0" w:type="dxa"/>
            </w:tcMar>
          </w:tcPr>
          <w:p>
            <w:pPr>
              <w:spacing w:after="0"/>
            </w:pPr>
            <w:r>
              <w:rPr>
                <w:b/>
                <w:color w:val="19324D"/>
                <w:sz w:val="16"/>
              </w:rPr>
              <w:t>Bachelor of Mechanical Engineering (B.Eng.)</w:t>
            </w:r>
          </w:p>
        </w:tc>
        <w:tc>
          <w:tcPr>
            <w:tcW w:type="dxa" w:w="5371"/>
            <w:tcMar>
              <w:top w:w="20" w:type="dxa"/>
              <w:start w:w="0" w:type="dxa"/>
              <w:bottom w:w="20" w:type="dxa"/>
              <w:end w:w="0" w:type="dxa"/>
            </w:tcMar>
          </w:tcPr>
          <w:p>
            <w:pPr>
              <w:spacing w:after="0"/>
            </w:pPr>
            <w:r>
              <w:rPr>
                <w:sz w:val="16"/>
              </w:rPr>
              <w:t>Dalhousie University, 2012-2016</w:t>
            </w:r>
          </w:p>
        </w:tc>
      </w:tr>
      <w:tr>
        <w:tc>
          <w:tcPr>
            <w:tcW w:type="dxa" w:w="5371"/>
            <w:tcMar>
              <w:top w:w="20" w:type="dxa"/>
              <w:start w:w="0" w:type="dxa"/>
              <w:bottom w:w="20" w:type="dxa"/>
              <w:end w:w="0" w:type="dxa"/>
            </w:tcMar>
          </w:tcPr>
          <w:p>
            <w:pPr>
              <w:spacing w:after="0"/>
            </w:pPr>
            <w:r>
              <w:rPr>
                <w:b/>
                <w:color w:val="19324D"/>
                <w:sz w:val="16"/>
              </w:rPr>
              <w:t>Professional Engineer</w:t>
            </w:r>
          </w:p>
        </w:tc>
        <w:tc>
          <w:tcPr>
            <w:tcW w:type="dxa" w:w="5371"/>
            <w:tcMar>
              <w:top w:w="20" w:type="dxa"/>
              <w:start w:w="0" w:type="dxa"/>
              <w:bottom w:w="20" w:type="dxa"/>
              <w:end w:w="0" w:type="dxa"/>
            </w:tcMar>
          </w:tcPr>
          <w:p>
            <w:pPr>
              <w:spacing w:after="0"/>
            </w:pPr>
            <w:r>
              <w:rPr>
                <w:sz w:val="16"/>
              </w:rPr>
              <w:t>Engineers and Geoscientists BC and Professional Engineers Ontario, 2023-Present</w:t>
            </w:r>
          </w:p>
        </w:tc>
      </w:tr>
      <w:tr>
        <w:tc>
          <w:tcPr>
            <w:tcW w:type="dxa" w:w="5371"/>
            <w:tcMar>
              <w:top w:w="20" w:type="dxa"/>
              <w:start w:w="0" w:type="dxa"/>
              <w:bottom w:w="20" w:type="dxa"/>
              <w:end w:w="0" w:type="dxa"/>
            </w:tcMar>
          </w:tcPr>
          <w:p>
            <w:pPr>
              <w:spacing w:after="0"/>
            </w:pPr>
            <w:r>
              <w:rPr>
                <w:b/>
                <w:color w:val="19324D"/>
                <w:sz w:val="16"/>
              </w:rPr>
              <w:t>Additional</w:t>
            </w:r>
          </w:p>
        </w:tc>
        <w:tc>
          <w:tcPr>
            <w:tcW w:type="dxa" w:w="5371"/>
            <w:tcMar>
              <w:top w:w="20" w:type="dxa"/>
              <w:start w:w="0" w:type="dxa"/>
              <w:bottom w:w="20" w:type="dxa"/>
              <w:end w:w="0" w:type="dxa"/>
            </w:tcMar>
          </w:tcPr>
          <w:p>
            <w:pPr>
              <w:spacing w:after="0"/>
            </w:pPr>
            <w:r>
              <w:rPr>
                <w:sz w:val="16"/>
              </w:rPr>
              <w:t>Advanced Drone Pilot; Google Data Analytics Professional Certificate; Google AI Essentials</w:t>
            </w:r>
          </w:p>
        </w:tc>
      </w:tr>
    </w:tbl>
    <w:sectPr w:rsidR="00FC693F" w:rsidRPr="0006063C" w:rsidSect="00034616">
      <w:footerReference w:type="default" r:id="rId12"/>
      <w:pgSz w:w="12240" w:h="15840"/>
      <w:pgMar w:top="547" w:right="749" w:bottom="547" w:left="749"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color w:val="8B98A3"/>
        <w:sz w:val="14"/>
      </w:rPr>
      <w:t>Tyler Wickett, P.Eng.  |  tyler.sowp.ca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 w:line="245" w:lineRule="auto"/>
    </w:pPr>
    <w:rPr>
      <w:rFonts w:ascii="Aptos" w:hAnsi="Aptos"/>
      <w:color w:val="1F2933"/>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60" w:after="20"/>
      <w:outlineLvl w:val="0"/>
    </w:pPr>
    <w:rPr>
      <w:rFonts w:asciiTheme="majorHAnsi" w:eastAsiaTheme="majorEastAsia" w:hAnsiTheme="majorHAnsi" w:cstheme="majorBidi" w:ascii="Aptos" w:hAnsi="Aptos"/>
      <w:b/>
      <w:bCs/>
      <w:color w:val="19324D"/>
      <w:sz w:val="19"/>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0" w:line="240" w:lineRule="auto"/>
      <w:contextualSpacing/>
    </w:pPr>
    <w:rPr>
      <w:rFonts w:asciiTheme="majorHAnsi" w:eastAsiaTheme="majorEastAsia" w:hAnsiTheme="majorHAnsi" w:cstheme="majorBidi" w:ascii="Aptos Display" w:hAnsi="Aptos Display"/>
      <w:b/>
      <w:color w:val="19324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0"/>
    </w:pPr>
    <w:rPr>
      <w:rFonts w:asciiTheme="majorHAnsi" w:eastAsiaTheme="majorEastAsia" w:hAnsiTheme="majorHAnsi" w:cstheme="majorBidi" w:ascii="Aptos" w:hAnsi="Aptos"/>
      <w:b/>
      <w:i/>
      <w:iCs/>
      <w:color w:val="2B6CA3"/>
      <w:spacing w:val="15"/>
      <w:sz w:val="20"/>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tylerwickett@gmail.com" TargetMode="External"/><Relationship Id="rId10" Type="http://schemas.openxmlformats.org/officeDocument/2006/relationships/hyperlink" Target="https://tyler.sowp.ca" TargetMode="External"/><Relationship Id="rId11" Type="http://schemas.openxmlformats.org/officeDocument/2006/relationships/hyperlink" Target="https://www.linkedin.com/in/tylerwickett"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